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7F7CD6">
        <w:rPr>
          <w:rFonts w:ascii="Arial Narrow" w:hAnsi="Arial Narrow"/>
          <w:sz w:val="22"/>
          <w:szCs w:val="22"/>
        </w:rPr>
        <w:t>al trimestre Enero – Marzo de 2018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7F7CD6">
        <w:rPr>
          <w:rFonts w:ascii="Arial Narrow" w:hAnsi="Arial Narrow"/>
          <w:sz w:val="22"/>
          <w:szCs w:val="22"/>
        </w:rPr>
        <w:t>primer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7F7CD6">
        <w:rPr>
          <w:rFonts w:ascii="Arial Narrow" w:hAnsi="Arial Narrow"/>
          <w:sz w:val="22"/>
          <w:szCs w:val="22"/>
        </w:rPr>
        <w:t xml:space="preserve"> de 2018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7F7CD6">
        <w:rPr>
          <w:rFonts w:ascii="Arial Narrow" w:hAnsi="Arial Narrow"/>
          <w:sz w:val="22"/>
          <w:szCs w:val="22"/>
        </w:rPr>
        <w:t>5,786,179,208.96</w:t>
      </w:r>
      <w:r w:rsidR="00671E20" w:rsidRPr="00671E20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7F7CD6">
        <w:rPr>
          <w:rFonts w:ascii="Arial Narrow" w:hAnsi="Arial Narrow"/>
          <w:sz w:val="22"/>
          <w:szCs w:val="22"/>
        </w:rPr>
        <w:t>cinco mil setecientos ochenta y seis millones ciento setenta y nueve mil doscientos ocho</w:t>
      </w:r>
      <w:r w:rsidR="0085554C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7F7CD6">
        <w:rPr>
          <w:rFonts w:ascii="Arial Narrow" w:hAnsi="Arial Narrow"/>
          <w:sz w:val="22"/>
          <w:szCs w:val="22"/>
        </w:rPr>
        <w:t>96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5D5E31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7" type="#_x0000_t75" style="position:absolute;left:0;text-align:left;margin-left:44.9pt;margin-top:6.35pt;width:357.3pt;height:242pt;z-index:251720192;mso-position-horizontal-relative:text;mso-position-vertical-relative:text">
            <v:imagedata r:id="rId9" o:title=""/>
          </v:shape>
          <o:OLEObject Type="Link" ProgID="Excel.Sheet.8" ShapeID="_x0000_s5037" DrawAspect="Content" r:id="rId10" UpdateMode="Always">
            <o:LinkType>EnhancedMetaFile</o:LinkType>
            <o:LockedField>false</o:LockedField>
          </o:OLEObject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contable de ingresos recaudados, siendo conveniente señalar que en el rubro de Participaciones quedaron </w:t>
      </w:r>
      <w:r w:rsidR="00D15EAD">
        <w:rPr>
          <w:rFonts w:ascii="Arial Narrow" w:hAnsi="Arial Narrow"/>
          <w:sz w:val="22"/>
          <w:szCs w:val="22"/>
        </w:rPr>
        <w:t>incentivos pendientes de recaudar por un importe de $ 79,598.02 (setenta y nueve mil quinientos noventa y ocho pesos 02/100 m. n.), mismos que se contabilizaron como devengados en el trimestre que se reporta y se captarán en el mes de Abril de 2018.</w:t>
      </w:r>
      <w:r w:rsidR="007F7CD6">
        <w:rPr>
          <w:rFonts w:ascii="Arial Narrow" w:hAnsi="Arial Narrow"/>
          <w:sz w:val="22"/>
          <w:szCs w:val="22"/>
        </w:rPr>
        <w:t xml:space="preserve"> 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16371">
        <w:rPr>
          <w:rFonts w:ascii="Arial Narrow" w:hAnsi="Arial Narrow" w:cs="Arial"/>
          <w:sz w:val="22"/>
          <w:szCs w:val="22"/>
        </w:rPr>
        <w:t xml:space="preserve"> 2018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616371">
        <w:rPr>
          <w:rFonts w:ascii="Arial Narrow" w:hAnsi="Arial Narrow" w:cs="Arial"/>
          <w:sz w:val="22"/>
          <w:szCs w:val="22"/>
        </w:rPr>
        <w:t>primer trimestre de 2018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616371">
        <w:rPr>
          <w:rFonts w:ascii="Arial Narrow" w:hAnsi="Arial Narrow" w:cs="Arial"/>
          <w:sz w:val="22"/>
          <w:szCs w:val="22"/>
        </w:rPr>
        <w:t>248,975,469.77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616371">
        <w:rPr>
          <w:rFonts w:ascii="Arial Narrow" w:hAnsi="Arial Narrow" w:cs="Arial"/>
          <w:sz w:val="22"/>
          <w:szCs w:val="22"/>
        </w:rPr>
        <w:t>doscientos cuarenta y ocho mil</w:t>
      </w:r>
      <w:r w:rsidR="00CC18D6">
        <w:rPr>
          <w:rFonts w:ascii="Arial Narrow" w:hAnsi="Arial Narrow" w:cs="Arial"/>
          <w:sz w:val="22"/>
          <w:szCs w:val="22"/>
        </w:rPr>
        <w:t>lones</w:t>
      </w:r>
      <w:r w:rsidR="00616371">
        <w:rPr>
          <w:rFonts w:ascii="Arial Narrow" w:hAnsi="Arial Narrow" w:cs="Arial"/>
          <w:sz w:val="22"/>
          <w:szCs w:val="22"/>
        </w:rPr>
        <w:t xml:space="preserve"> novecientos setenta y cinco mil cuatrocientos sesenta y nueve pesos 77/100 m. n.).</w:t>
      </w:r>
      <w:r w:rsidR="00365AB7">
        <w:rPr>
          <w:rFonts w:ascii="Arial Narrow" w:hAnsi="Arial Narrow" w:cs="Arial"/>
          <w:sz w:val="22"/>
          <w:szCs w:val="22"/>
        </w:rPr>
        <w:t xml:space="preserve"> </w:t>
      </w:r>
    </w:p>
    <w:p w:rsidR="005228AC" w:rsidRPr="00500C10" w:rsidRDefault="005228AC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616371">
        <w:rPr>
          <w:rFonts w:ascii="Arial Narrow" w:hAnsi="Arial Narrow"/>
          <w:sz w:val="22"/>
          <w:szCs w:val="22"/>
        </w:rPr>
        <w:t>78</w:t>
      </w:r>
      <w:proofErr w:type="gramStart"/>
      <w:r w:rsidR="00616371">
        <w:rPr>
          <w:rFonts w:ascii="Arial Narrow" w:hAnsi="Arial Narrow"/>
          <w:sz w:val="22"/>
          <w:szCs w:val="22"/>
        </w:rPr>
        <w:t>,807,311.15</w:t>
      </w:r>
      <w:proofErr w:type="gramEnd"/>
      <w:r w:rsidR="00616371">
        <w:rPr>
          <w:rFonts w:ascii="Arial Narrow" w:hAnsi="Arial Narrow"/>
          <w:sz w:val="22"/>
          <w:szCs w:val="22"/>
        </w:rPr>
        <w:t xml:space="preserve"> (setenta y ocho millones ochocientos siete mil trescientos once pesos 15</w:t>
      </w:r>
      <w:r w:rsidR="000D517C">
        <w:rPr>
          <w:rFonts w:ascii="Arial Narrow" w:hAnsi="Arial Narrow"/>
          <w:sz w:val="22"/>
          <w:szCs w:val="22"/>
        </w:rPr>
        <w:t>/100 m. n.)</w:t>
      </w:r>
      <w:r w:rsidR="00616371">
        <w:rPr>
          <w:rFonts w:ascii="Arial Narrow" w:hAnsi="Arial Narrow"/>
          <w:sz w:val="22"/>
          <w:szCs w:val="22"/>
        </w:rPr>
        <w:t>.</w:t>
      </w:r>
      <w:r w:rsidR="000D517C">
        <w:rPr>
          <w:rFonts w:ascii="Arial Narrow" w:hAnsi="Arial Narrow"/>
          <w:sz w:val="22"/>
          <w:szCs w:val="22"/>
        </w:rPr>
        <w:t xml:space="preserve"> </w:t>
      </w:r>
    </w:p>
    <w:p w:rsidR="00F42377" w:rsidRDefault="003E71A8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16371" w:rsidRDefault="00616371" w:rsidP="00616371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Así mismo,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>en el lapso comprendido de Enero a Marzo de $ 67</w:t>
      </w:r>
      <w:proofErr w:type="gramStart"/>
      <w:r>
        <w:rPr>
          <w:rFonts w:ascii="Arial Narrow" w:hAnsi="Arial Narrow" w:cs="Arial"/>
          <w:sz w:val="22"/>
          <w:szCs w:val="22"/>
        </w:rPr>
        <w:t>,604,198.55</w:t>
      </w:r>
      <w:proofErr w:type="gramEnd"/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sesenta y siete millones seiscientos cuatro mil ciento noventa y ocho pesos 55/100 m. n.).</w:t>
      </w:r>
    </w:p>
    <w:p w:rsidR="00616371" w:rsidRDefault="00616371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935C9" w:rsidRDefault="006935C9" w:rsidP="006935C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>n</w:t>
      </w:r>
      <w:r w:rsidR="0014079B">
        <w:rPr>
          <w:rFonts w:ascii="Arial Narrow" w:hAnsi="Arial Narrow"/>
          <w:sz w:val="22"/>
          <w:szCs w:val="22"/>
        </w:rPr>
        <w:t xml:space="preserve"> en el trimestre</w:t>
      </w:r>
      <w:r>
        <w:rPr>
          <w:rFonts w:ascii="Arial Narrow" w:hAnsi="Arial Narrow"/>
          <w:sz w:val="22"/>
          <w:szCs w:val="22"/>
        </w:rPr>
        <w:t xml:space="preserve"> la cantidad de </w:t>
      </w:r>
      <w:r w:rsidR="00616371">
        <w:rPr>
          <w:rFonts w:ascii="Arial Narrow" w:hAnsi="Arial Narrow" w:cs="Arial"/>
          <w:sz w:val="22"/>
          <w:szCs w:val="22"/>
        </w:rPr>
        <w:t>$ 65,469,883.21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616371">
        <w:rPr>
          <w:rFonts w:ascii="Arial Narrow" w:hAnsi="Arial Narrow" w:cs="Arial"/>
          <w:sz w:val="22"/>
          <w:szCs w:val="22"/>
        </w:rPr>
        <w:t>sesenta y cinco millones cuatrocientos sesenta y nueve mil ochocientos ochenta y tres pesos 21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 w:rsidR="00616371">
        <w:rPr>
          <w:rFonts w:ascii="Arial Narrow" w:hAnsi="Arial Narrow" w:cs="Arial"/>
          <w:sz w:val="22"/>
          <w:szCs w:val="22"/>
        </w:rPr>
        <w:t>m. n.).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935C9" w:rsidRDefault="006935C9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0E27BF" w:rsidRPr="007D397C" w:rsidRDefault="00D4577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616371">
        <w:rPr>
          <w:rFonts w:ascii="Arial Narrow" w:hAnsi="Arial Narrow"/>
          <w:sz w:val="22"/>
          <w:szCs w:val="22"/>
        </w:rPr>
        <w:t>112</w:t>
      </w:r>
      <w:proofErr w:type="gramStart"/>
      <w:r w:rsidR="00616371">
        <w:rPr>
          <w:rFonts w:ascii="Arial Narrow" w:hAnsi="Arial Narrow"/>
          <w:sz w:val="22"/>
          <w:szCs w:val="22"/>
        </w:rPr>
        <w:t>,315,581.15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616371">
        <w:rPr>
          <w:rFonts w:ascii="Arial Narrow" w:hAnsi="Arial Narrow"/>
          <w:sz w:val="22"/>
          <w:szCs w:val="22"/>
        </w:rPr>
        <w:t xml:space="preserve">ciento doce millones trescientos quince </w:t>
      </w:r>
      <w:r w:rsidR="00124340">
        <w:rPr>
          <w:rFonts w:ascii="Arial Narrow" w:hAnsi="Arial Narrow"/>
          <w:sz w:val="22"/>
          <w:szCs w:val="22"/>
        </w:rPr>
        <w:t xml:space="preserve">mil quinientos ochenta y un </w:t>
      </w:r>
      <w:r w:rsidR="00291F0D">
        <w:rPr>
          <w:rFonts w:ascii="Arial Narrow" w:hAnsi="Arial Narrow"/>
          <w:sz w:val="22"/>
          <w:szCs w:val="22"/>
        </w:rPr>
        <w:t>p</w:t>
      </w:r>
      <w:r w:rsidR="00C31EDC">
        <w:rPr>
          <w:rFonts w:ascii="Arial Narrow" w:hAnsi="Arial Narrow"/>
          <w:sz w:val="22"/>
          <w:szCs w:val="22"/>
        </w:rPr>
        <w:t>esos 15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C31EDC">
        <w:rPr>
          <w:rFonts w:ascii="Arial Narrow" w:hAnsi="Arial Narrow"/>
          <w:sz w:val="22"/>
          <w:szCs w:val="22"/>
        </w:rPr>
        <w:t>.</w:t>
      </w:r>
    </w:p>
    <w:p w:rsidR="005228AC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C31EDC">
        <w:rPr>
          <w:rFonts w:ascii="Arial Narrow" w:hAnsi="Arial Narrow"/>
          <w:sz w:val="22"/>
          <w:szCs w:val="22"/>
        </w:rPr>
        <w:t>59</w:t>
      </w:r>
      <w:proofErr w:type="gramStart"/>
      <w:r w:rsidR="00C31EDC">
        <w:rPr>
          <w:rFonts w:ascii="Arial Narrow" w:hAnsi="Arial Narrow"/>
          <w:sz w:val="22"/>
          <w:szCs w:val="22"/>
        </w:rPr>
        <w:t>,648,818.60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C31EDC">
        <w:rPr>
          <w:rFonts w:ascii="Arial Narrow" w:hAnsi="Arial Narrow"/>
          <w:sz w:val="22"/>
          <w:szCs w:val="22"/>
        </w:rPr>
        <w:t>cincuenta y nueve millones seiscientos cuarenta y ocho mil ochocientos dieciocho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C31EDC">
        <w:rPr>
          <w:rFonts w:ascii="Arial Narrow" w:hAnsi="Arial Narrow"/>
          <w:sz w:val="22"/>
          <w:szCs w:val="22"/>
        </w:rPr>
        <w:t>60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C31EDC">
        <w:rPr>
          <w:rFonts w:ascii="Arial Narrow" w:hAnsi="Arial Narrow"/>
          <w:sz w:val="22"/>
          <w:szCs w:val="22"/>
        </w:rPr>
        <w:t>.</w:t>
      </w:r>
      <w:r w:rsidR="006C0CAC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C31EDC" w:rsidRPr="004E184E" w:rsidRDefault="00C31EDC" w:rsidP="00C31EDC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>
        <w:rPr>
          <w:rFonts w:ascii="Arial Narrow" w:hAnsi="Arial Narrow"/>
          <w:sz w:val="22"/>
          <w:szCs w:val="22"/>
        </w:rPr>
        <w:t xml:space="preserve">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6A7BB9">
        <w:rPr>
          <w:rFonts w:ascii="Arial Narrow" w:hAnsi="Arial Narrow"/>
          <w:sz w:val="22"/>
          <w:szCs w:val="22"/>
        </w:rPr>
        <w:t xml:space="preserve"> cuyo importe </w:t>
      </w:r>
      <w:r w:rsidRPr="004E184E">
        <w:rPr>
          <w:rFonts w:ascii="Arial Narrow" w:hAnsi="Arial Narrow"/>
          <w:sz w:val="22"/>
          <w:szCs w:val="22"/>
        </w:rPr>
        <w:t xml:space="preserve">asciende </w:t>
      </w:r>
      <w:r>
        <w:rPr>
          <w:rFonts w:ascii="Arial Narrow" w:hAnsi="Arial Narrow"/>
          <w:sz w:val="22"/>
          <w:szCs w:val="22"/>
        </w:rPr>
        <w:t>a $ 27</w:t>
      </w:r>
      <w:proofErr w:type="gramStart"/>
      <w:r>
        <w:rPr>
          <w:rFonts w:ascii="Arial Narrow" w:hAnsi="Arial Narrow"/>
          <w:sz w:val="22"/>
          <w:szCs w:val="22"/>
        </w:rPr>
        <w:t>,328,015.22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veintisiete millones trescientos veintiocho mil quince pesos 22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</w:p>
    <w:p w:rsidR="00C31EDC" w:rsidRDefault="00C31EDC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C31EDC">
        <w:rPr>
          <w:rFonts w:ascii="Arial Narrow" w:hAnsi="Arial Narrow"/>
          <w:sz w:val="22"/>
          <w:szCs w:val="22"/>
        </w:rPr>
        <w:t>Así mismo</w:t>
      </w:r>
      <w:r w:rsidR="006A7BB9">
        <w:rPr>
          <w:rFonts w:ascii="Arial Narrow" w:hAnsi="Arial Narrow"/>
          <w:sz w:val="22"/>
          <w:szCs w:val="22"/>
        </w:rPr>
        <w:t xml:space="preserve">, </w:t>
      </w:r>
      <w:r w:rsidR="006E34B4" w:rsidRPr="004E184E">
        <w:rPr>
          <w:rFonts w:ascii="Arial Narrow" w:hAnsi="Arial Narrow"/>
          <w:sz w:val="22"/>
          <w:szCs w:val="22"/>
        </w:rPr>
        <w:t>resalta</w:t>
      </w:r>
      <w:r w:rsidR="007F06D5">
        <w:rPr>
          <w:rFonts w:ascii="Arial Narrow" w:hAnsi="Arial Narrow"/>
          <w:sz w:val="22"/>
          <w:szCs w:val="22"/>
        </w:rPr>
        <w:t xml:space="preserve">n </w:t>
      </w:r>
      <w:r w:rsidR="007F06D5" w:rsidRPr="004E184E">
        <w:rPr>
          <w:rFonts w:ascii="Arial Narrow" w:hAnsi="Arial Narrow"/>
          <w:sz w:val="22"/>
          <w:szCs w:val="22"/>
        </w:rPr>
        <w:t>los Servicios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7F06D5" w:rsidRPr="004E184E">
        <w:rPr>
          <w:rFonts w:ascii="Arial Narrow" w:hAnsi="Arial Narrow"/>
          <w:sz w:val="22"/>
          <w:szCs w:val="22"/>
        </w:rPr>
        <w:t>Registrales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con un importe </w:t>
      </w:r>
      <w:r w:rsidR="00C31EDC">
        <w:rPr>
          <w:rFonts w:ascii="Arial Narrow" w:hAnsi="Arial Narrow"/>
          <w:sz w:val="22"/>
          <w:szCs w:val="22"/>
        </w:rPr>
        <w:t>obtenido en el primer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</w:t>
      </w:r>
      <w:r w:rsidR="006A7BB9">
        <w:rPr>
          <w:rFonts w:ascii="Arial Narrow" w:hAnsi="Arial Narrow"/>
          <w:sz w:val="22"/>
          <w:szCs w:val="22"/>
        </w:rPr>
        <w:t xml:space="preserve">             </w:t>
      </w:r>
      <w:r w:rsidR="005F6DC5" w:rsidRPr="004E184E">
        <w:rPr>
          <w:rFonts w:ascii="Arial Narrow" w:hAnsi="Arial Narrow"/>
          <w:sz w:val="22"/>
          <w:szCs w:val="22"/>
        </w:rPr>
        <w:t xml:space="preserve">$ </w:t>
      </w:r>
      <w:r w:rsidR="00C31EDC">
        <w:rPr>
          <w:rFonts w:ascii="Arial Narrow" w:hAnsi="Arial Narrow"/>
          <w:sz w:val="22"/>
          <w:szCs w:val="22"/>
        </w:rPr>
        <w:t>15</w:t>
      </w:r>
      <w:proofErr w:type="gramStart"/>
      <w:r w:rsidR="00C31EDC">
        <w:rPr>
          <w:rFonts w:ascii="Arial Narrow" w:hAnsi="Arial Narrow"/>
          <w:sz w:val="22"/>
          <w:szCs w:val="22"/>
        </w:rPr>
        <w:t>,372,604.09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C31EDC">
        <w:rPr>
          <w:rFonts w:ascii="Arial Narrow" w:hAnsi="Arial Narrow"/>
          <w:sz w:val="22"/>
          <w:szCs w:val="22"/>
        </w:rPr>
        <w:t>quince millones trescientos setenta y dos mil seiscientos cuatro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pesos </w:t>
      </w:r>
      <w:r w:rsidR="00C31EDC">
        <w:rPr>
          <w:rFonts w:ascii="Arial Narrow" w:hAnsi="Arial Narrow"/>
          <w:sz w:val="22"/>
          <w:szCs w:val="22"/>
        </w:rPr>
        <w:t>09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C31EDC">
        <w:rPr>
          <w:rFonts w:ascii="Arial Narrow" w:hAnsi="Arial Narrow"/>
          <w:sz w:val="22"/>
          <w:szCs w:val="22"/>
        </w:rPr>
        <w:t>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C31EDC">
        <w:rPr>
          <w:rFonts w:ascii="Arial Narrow" w:hAnsi="Arial Narrow"/>
          <w:sz w:val="22"/>
          <w:szCs w:val="22"/>
        </w:rPr>
        <w:t>8</w:t>
      </w:r>
      <w:proofErr w:type="gramStart"/>
      <w:r w:rsidR="00C31EDC">
        <w:rPr>
          <w:rFonts w:ascii="Arial Narrow" w:hAnsi="Arial Narrow"/>
          <w:sz w:val="22"/>
          <w:szCs w:val="22"/>
        </w:rPr>
        <w:t>,595,419.70</w:t>
      </w:r>
      <w:proofErr w:type="gramEnd"/>
      <w:r w:rsidR="0042654F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C31EDC">
        <w:rPr>
          <w:rFonts w:ascii="Arial Narrow" w:hAnsi="Arial Narrow"/>
          <w:sz w:val="22"/>
          <w:szCs w:val="22"/>
        </w:rPr>
        <w:t>ocho millones quinientos noventa y cin</w:t>
      </w:r>
      <w:r w:rsidR="00124340">
        <w:rPr>
          <w:rFonts w:ascii="Arial Narrow" w:hAnsi="Arial Narrow"/>
          <w:sz w:val="22"/>
          <w:szCs w:val="22"/>
        </w:rPr>
        <w:t xml:space="preserve">co mil cuatrocientos diecinueve </w:t>
      </w:r>
      <w:r w:rsidR="00C31EDC">
        <w:rPr>
          <w:rFonts w:ascii="Arial Narrow" w:hAnsi="Arial Narrow"/>
          <w:sz w:val="22"/>
          <w:szCs w:val="22"/>
        </w:rPr>
        <w:t>pesos 70/100 m. n.).</w:t>
      </w:r>
      <w:r w:rsidR="008D6D15">
        <w:rPr>
          <w:rFonts w:ascii="Arial Narrow" w:hAnsi="Arial Narrow"/>
          <w:sz w:val="22"/>
          <w:szCs w:val="22"/>
        </w:rPr>
        <w:t xml:space="preserve"> </w:t>
      </w:r>
    </w:p>
    <w:p w:rsidR="00BA5A24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255639">
        <w:rPr>
          <w:rFonts w:ascii="Arial Narrow" w:hAnsi="Arial Narrow"/>
          <w:sz w:val="22"/>
          <w:szCs w:val="22"/>
        </w:rPr>
        <w:t>$ 4</w:t>
      </w:r>
      <w:proofErr w:type="gramStart"/>
      <w:r w:rsidR="00255639">
        <w:rPr>
          <w:rFonts w:ascii="Arial Narrow" w:hAnsi="Arial Narrow"/>
          <w:sz w:val="22"/>
          <w:szCs w:val="22"/>
        </w:rPr>
        <w:t>,821,213.41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9B75AE">
        <w:rPr>
          <w:rFonts w:ascii="Arial Narrow" w:hAnsi="Arial Narrow"/>
          <w:sz w:val="22"/>
          <w:szCs w:val="22"/>
        </w:rPr>
        <w:t xml:space="preserve">cuatro </w:t>
      </w:r>
      <w:r w:rsidR="006518CA">
        <w:rPr>
          <w:rFonts w:ascii="Arial Narrow" w:hAnsi="Arial Narrow"/>
          <w:sz w:val="22"/>
          <w:szCs w:val="22"/>
        </w:rPr>
        <w:t xml:space="preserve">millones ochocientos </w:t>
      </w:r>
      <w:proofErr w:type="spellStart"/>
      <w:r w:rsidR="006518CA">
        <w:rPr>
          <w:rFonts w:ascii="Arial Narrow" w:hAnsi="Arial Narrow"/>
          <w:sz w:val="22"/>
          <w:szCs w:val="22"/>
        </w:rPr>
        <w:t>veintiun</w:t>
      </w:r>
      <w:proofErr w:type="spellEnd"/>
      <w:r w:rsidR="006518CA">
        <w:rPr>
          <w:rFonts w:ascii="Arial Narrow" w:hAnsi="Arial Narrow"/>
          <w:sz w:val="22"/>
          <w:szCs w:val="22"/>
        </w:rPr>
        <w:t xml:space="preserve"> mil doscientos trece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6518CA">
        <w:rPr>
          <w:rFonts w:ascii="Arial Narrow" w:hAnsi="Arial Narrow"/>
          <w:sz w:val="22"/>
          <w:szCs w:val="22"/>
        </w:rPr>
        <w:t>41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17226F">
        <w:rPr>
          <w:rFonts w:ascii="Arial Narrow" w:hAnsi="Arial Narrow"/>
          <w:sz w:val="22"/>
          <w:szCs w:val="22"/>
        </w:rPr>
        <w:t>, destacando</w:t>
      </w:r>
      <w:r w:rsidR="006518CA">
        <w:rPr>
          <w:rFonts w:ascii="Arial Narrow" w:hAnsi="Arial Narrow"/>
          <w:sz w:val="22"/>
          <w:szCs w:val="22"/>
        </w:rPr>
        <w:t xml:space="preserve"> también </w:t>
      </w:r>
      <w:r w:rsidR="00255639">
        <w:rPr>
          <w:rFonts w:ascii="Arial Narrow" w:hAnsi="Arial Narrow"/>
          <w:sz w:val="22"/>
          <w:szCs w:val="22"/>
        </w:rPr>
        <w:t xml:space="preserve">el concepto de Otros Productos con un monto en el período de </w:t>
      </w:r>
      <w:r w:rsidR="006518CA">
        <w:rPr>
          <w:rFonts w:ascii="Arial Narrow" w:hAnsi="Arial Narrow"/>
          <w:sz w:val="22"/>
          <w:szCs w:val="22"/>
        </w:rPr>
        <w:t>$ 3,137,502.07</w:t>
      </w:r>
      <w:r w:rsidR="00255639">
        <w:rPr>
          <w:rFonts w:ascii="Arial Narrow" w:hAnsi="Arial Narrow"/>
          <w:sz w:val="22"/>
          <w:szCs w:val="22"/>
        </w:rPr>
        <w:t xml:space="preserve"> (</w:t>
      </w:r>
      <w:r w:rsidR="006518CA">
        <w:rPr>
          <w:rFonts w:ascii="Arial Narrow" w:hAnsi="Arial Narrow"/>
          <w:sz w:val="22"/>
          <w:szCs w:val="22"/>
        </w:rPr>
        <w:t>tres millones ciento treinta y siete mil quinientos dos pesos 07</w:t>
      </w:r>
      <w:r w:rsidR="00255639">
        <w:rPr>
          <w:rFonts w:ascii="Arial Narrow" w:hAnsi="Arial Narrow"/>
          <w:sz w:val="22"/>
          <w:szCs w:val="22"/>
        </w:rPr>
        <w:t>/100 m. n.)</w:t>
      </w:r>
      <w:r w:rsidR="0017226F">
        <w:rPr>
          <w:rFonts w:ascii="Arial Narrow" w:hAnsi="Arial Narrow"/>
          <w:sz w:val="22"/>
          <w:szCs w:val="22"/>
        </w:rPr>
        <w:t>.</w:t>
      </w:r>
    </w:p>
    <w:p w:rsidR="00172C48" w:rsidRDefault="00172C48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Pr="004E184E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6518CA">
        <w:rPr>
          <w:rFonts w:ascii="Arial Narrow" w:hAnsi="Arial Narrow"/>
          <w:sz w:val="22"/>
          <w:szCs w:val="22"/>
        </w:rPr>
        <w:t>trimestre Enero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518CA">
        <w:rPr>
          <w:rFonts w:ascii="Arial Narrow" w:hAnsi="Arial Narrow"/>
          <w:sz w:val="22"/>
          <w:szCs w:val="22"/>
        </w:rPr>
        <w:t xml:space="preserve"> Marzo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6518CA">
        <w:rPr>
          <w:rFonts w:ascii="Arial Narrow" w:hAnsi="Arial Narrow"/>
          <w:sz w:val="22"/>
          <w:szCs w:val="22"/>
        </w:rPr>
        <w:t>$ 4</w:t>
      </w:r>
      <w:proofErr w:type="gramStart"/>
      <w:r w:rsidR="006518CA">
        <w:rPr>
          <w:rFonts w:ascii="Arial Narrow" w:hAnsi="Arial Narrow"/>
          <w:sz w:val="22"/>
          <w:szCs w:val="22"/>
        </w:rPr>
        <w:t>,505,331.21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6518CA">
        <w:rPr>
          <w:rFonts w:ascii="Arial Narrow" w:hAnsi="Arial Narrow"/>
          <w:sz w:val="22"/>
          <w:szCs w:val="22"/>
        </w:rPr>
        <w:t>cuatro millones quinientos cinco mil trescientos treinta y un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6518CA">
        <w:rPr>
          <w:rFonts w:ascii="Arial Narrow" w:hAnsi="Arial Narrow"/>
          <w:sz w:val="22"/>
          <w:szCs w:val="22"/>
        </w:rPr>
        <w:t>21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17226F">
        <w:rPr>
          <w:rFonts w:ascii="Arial Narrow" w:hAnsi="Arial Narrow"/>
          <w:sz w:val="22"/>
          <w:szCs w:val="22"/>
        </w:rPr>
        <w:t xml:space="preserve">, mismo que </w:t>
      </w:r>
      <w:r w:rsidR="00AD44F9">
        <w:rPr>
          <w:rFonts w:ascii="Arial Narrow" w:hAnsi="Arial Narrow"/>
          <w:sz w:val="22"/>
          <w:szCs w:val="22"/>
        </w:rPr>
        <w:lastRenderedPageBreak/>
        <w:t xml:space="preserve">se encuentra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</w:t>
      </w:r>
      <w:r w:rsidR="006518CA">
        <w:rPr>
          <w:rFonts w:ascii="Arial Narrow" w:hAnsi="Arial Narrow"/>
          <w:sz w:val="22"/>
          <w:szCs w:val="22"/>
        </w:rPr>
        <w:t>por recursos relativos a Herencias, Legados y Donaciones, Aprovechamientos Diversos y Reintegros.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656A6E" w:rsidRDefault="00656A6E" w:rsidP="00AD44F9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6518CA">
        <w:rPr>
          <w:rFonts w:ascii="Arial Narrow" w:hAnsi="Arial Narrow"/>
          <w:sz w:val="22"/>
          <w:szCs w:val="22"/>
        </w:rPr>
        <w:t>32,971,163.09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6518CA">
        <w:rPr>
          <w:rFonts w:ascii="Arial Narrow" w:hAnsi="Arial Narrow"/>
          <w:sz w:val="22"/>
          <w:szCs w:val="22"/>
        </w:rPr>
        <w:t>treinta y dos millones novecientos setenta y un mil ciento sesenta y tres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6518CA">
        <w:rPr>
          <w:rFonts w:ascii="Arial Narrow" w:hAnsi="Arial Narrow"/>
          <w:sz w:val="22"/>
          <w:szCs w:val="22"/>
        </w:rPr>
        <w:t>09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17226F">
        <w:rPr>
          <w:rFonts w:ascii="Arial Narrow" w:hAnsi="Arial Narrow"/>
          <w:sz w:val="22"/>
          <w:szCs w:val="22"/>
        </w:rPr>
        <w:t xml:space="preserve">, </w:t>
      </w:r>
      <w:r w:rsidR="00AD44F9">
        <w:rPr>
          <w:rFonts w:ascii="Arial Narrow" w:hAnsi="Arial Narrow"/>
          <w:sz w:val="22"/>
          <w:szCs w:val="22"/>
        </w:rPr>
        <w:t>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6518CA">
        <w:rPr>
          <w:rFonts w:ascii="Arial Narrow" w:hAnsi="Arial Narrow"/>
          <w:sz w:val="22"/>
          <w:szCs w:val="22"/>
        </w:rPr>
        <w:t xml:space="preserve"> para el Ejercicio Fiscal 2018</w:t>
      </w:r>
      <w:r w:rsidR="00283F0C">
        <w:rPr>
          <w:rFonts w:ascii="Arial Narrow" w:hAnsi="Arial Narrow"/>
          <w:sz w:val="22"/>
          <w:szCs w:val="22"/>
        </w:rPr>
        <w:t>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apartado está compuesto por las Participaciones Federales, Aportaciones Federales y Convenios</w:t>
      </w:r>
      <w:r w:rsidR="0017226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17226F">
        <w:rPr>
          <w:rFonts w:ascii="Arial Narrow" w:hAnsi="Arial Narrow"/>
          <w:sz w:val="22"/>
          <w:szCs w:val="22"/>
        </w:rPr>
        <w:t>el primer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17226F">
        <w:rPr>
          <w:rFonts w:ascii="Arial Narrow" w:hAnsi="Arial Narrow"/>
          <w:sz w:val="22"/>
          <w:szCs w:val="22"/>
        </w:rPr>
        <w:t xml:space="preserve">de 2018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17226F">
        <w:rPr>
          <w:rFonts w:ascii="Arial Narrow" w:hAnsi="Arial Narrow"/>
          <w:sz w:val="22"/>
          <w:szCs w:val="22"/>
        </w:rPr>
        <w:t>5,378,816,244.04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17226F">
        <w:rPr>
          <w:rFonts w:ascii="Arial Narrow" w:hAnsi="Arial Narrow"/>
          <w:sz w:val="22"/>
          <w:szCs w:val="22"/>
        </w:rPr>
        <w:t>cinco mil trescientos setenta y o</w:t>
      </w:r>
      <w:r w:rsidR="006C0A00">
        <w:rPr>
          <w:rFonts w:ascii="Arial Narrow" w:hAnsi="Arial Narrow"/>
          <w:sz w:val="22"/>
          <w:szCs w:val="22"/>
        </w:rPr>
        <w:t xml:space="preserve">cho millones ochocientos </w:t>
      </w:r>
      <w:proofErr w:type="spellStart"/>
      <w:r w:rsidR="006C0A00">
        <w:rPr>
          <w:rFonts w:ascii="Arial Narrow" w:hAnsi="Arial Narrow"/>
          <w:sz w:val="22"/>
          <w:szCs w:val="22"/>
        </w:rPr>
        <w:t>diecise</w:t>
      </w:r>
      <w:r w:rsidR="0017226F">
        <w:rPr>
          <w:rFonts w:ascii="Arial Narrow" w:hAnsi="Arial Narrow"/>
          <w:sz w:val="22"/>
          <w:szCs w:val="22"/>
        </w:rPr>
        <w:t>is</w:t>
      </w:r>
      <w:proofErr w:type="spellEnd"/>
      <w:r w:rsidR="0017226F">
        <w:rPr>
          <w:rFonts w:ascii="Arial Narrow" w:hAnsi="Arial Narrow"/>
          <w:sz w:val="22"/>
          <w:szCs w:val="22"/>
        </w:rPr>
        <w:t xml:space="preserve"> mil doscientos cuarenta y cuatro </w:t>
      </w:r>
      <w:r w:rsidR="002A040E">
        <w:rPr>
          <w:rFonts w:ascii="Arial Narrow" w:hAnsi="Arial Narrow"/>
          <w:sz w:val="22"/>
          <w:szCs w:val="22"/>
        </w:rPr>
        <w:t>pesos 04</w:t>
      </w:r>
      <w:r>
        <w:rPr>
          <w:rFonts w:ascii="Arial Narrow" w:hAnsi="Arial Narrow"/>
          <w:sz w:val="22"/>
          <w:szCs w:val="22"/>
        </w:rPr>
        <w:t>/100 m. n.)</w:t>
      </w:r>
      <w:r w:rsidR="0017226F">
        <w:rPr>
          <w:rFonts w:ascii="Arial Narrow" w:hAnsi="Arial Narrow"/>
          <w:sz w:val="22"/>
          <w:szCs w:val="22"/>
        </w:rPr>
        <w:t>.</w:t>
      </w:r>
    </w:p>
    <w:p w:rsidR="00283F0C" w:rsidRDefault="00283F0C" w:rsidP="00C52D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 continuación se presentan los ingresos registrados en materia de Participaciones Federales, Aportaciones Federales y Convenios a que se está haciendo referencia en este apartado.</w:t>
      </w:r>
    </w:p>
    <w:p w:rsidR="0017226F" w:rsidRDefault="0017226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6A7BB9">
      <w:pPr>
        <w:spacing w:line="1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2A040E">
        <w:rPr>
          <w:rFonts w:ascii="Arial Narrow" w:hAnsi="Arial Narrow"/>
          <w:sz w:val="22"/>
          <w:szCs w:val="22"/>
        </w:rPr>
        <w:t xml:space="preserve"> en el primer trimestre de 2018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2A040E">
        <w:rPr>
          <w:rFonts w:ascii="Arial Narrow" w:hAnsi="Arial Narrow"/>
          <w:sz w:val="22"/>
          <w:szCs w:val="22"/>
        </w:rPr>
        <w:t>1,952,389,499.07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2A040E">
        <w:rPr>
          <w:rFonts w:ascii="Arial Narrow" w:hAnsi="Arial Narrow"/>
          <w:sz w:val="22"/>
          <w:szCs w:val="22"/>
        </w:rPr>
        <w:t>un mil novecientos cincuenta y dos millones trescientos ochenta y nueve mil cuatrocientos noventa y nueve</w:t>
      </w:r>
      <w:r w:rsidR="004A25B9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2A040E">
        <w:rPr>
          <w:rFonts w:ascii="Arial Narrow" w:hAnsi="Arial Narrow"/>
          <w:sz w:val="22"/>
          <w:szCs w:val="22"/>
        </w:rPr>
        <w:t>07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 xml:space="preserve">,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5D5E31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38" type="#_x0000_t75" style="position:absolute;left:0;text-align:left;margin-left:42.15pt;margin-top:1.95pt;width:350.35pt;height:141pt;z-index:251722240;mso-position-horizontal-relative:text;mso-position-vertical-relative:text">
            <v:imagedata r:id="rId11" o:title=""/>
          </v:shape>
          <o:OLEObject Type="Link" ProgID="Excel.Sheet.8" ShapeID="_x0000_s5038" DrawAspect="Content" r:id="rId12" UpdateMode="Always">
            <o:LinkType>EnhancedMetaFile</o:LinkType>
            <o:LockedField>false</o:LockedField>
          </o:OLEObject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2A040E">
        <w:rPr>
          <w:rFonts w:ascii="Arial Narrow" w:hAnsi="Arial Narrow"/>
          <w:bCs/>
          <w:sz w:val="22"/>
          <w:szCs w:val="22"/>
        </w:rPr>
        <w:t>de $ 1</w:t>
      </w:r>
      <w:proofErr w:type="gramStart"/>
      <w:r w:rsidR="002A040E">
        <w:rPr>
          <w:rFonts w:ascii="Arial Narrow" w:hAnsi="Arial Narrow"/>
          <w:bCs/>
          <w:sz w:val="22"/>
          <w:szCs w:val="22"/>
        </w:rPr>
        <w:t>,458,217,417</w:t>
      </w:r>
      <w:r w:rsidR="007343E9">
        <w:rPr>
          <w:rFonts w:ascii="Arial Narrow" w:hAnsi="Arial Narrow"/>
          <w:bCs/>
          <w:sz w:val="22"/>
          <w:szCs w:val="22"/>
        </w:rPr>
        <w:t>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2A040E">
        <w:rPr>
          <w:rFonts w:ascii="Arial Narrow" w:hAnsi="Arial Narrow"/>
          <w:bCs/>
          <w:sz w:val="22"/>
          <w:szCs w:val="22"/>
        </w:rPr>
        <w:t>cuatrocientos cincuenta y ocho millones doscientos diecisiete mil cuatrocientos diecisiete</w:t>
      </w:r>
      <w:r w:rsidR="005A34CC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6A7BB9">
        <w:rPr>
          <w:rFonts w:ascii="Arial Narrow" w:hAnsi="Arial Narrow"/>
          <w:bCs/>
          <w:sz w:val="22"/>
          <w:szCs w:val="22"/>
        </w:rPr>
        <w:t xml:space="preserve"> y </w:t>
      </w:r>
      <w:r w:rsidR="00D760F3">
        <w:rPr>
          <w:rFonts w:ascii="Arial Narrow" w:hAnsi="Arial Narrow"/>
          <w:bCs/>
          <w:sz w:val="22"/>
          <w:szCs w:val="22"/>
        </w:rPr>
        <w:t xml:space="preserve">el Fondo </w:t>
      </w:r>
      <w:r w:rsidR="007343E9">
        <w:rPr>
          <w:rFonts w:ascii="Arial Narrow" w:hAnsi="Arial Narrow"/>
          <w:bCs/>
          <w:sz w:val="22"/>
          <w:szCs w:val="22"/>
        </w:rPr>
        <w:t>de Fomento Municipal</w:t>
      </w:r>
      <w:r w:rsidR="00D760F3">
        <w:rPr>
          <w:rFonts w:ascii="Arial Narrow" w:hAnsi="Arial Narrow"/>
          <w:bCs/>
          <w:sz w:val="22"/>
          <w:szCs w:val="22"/>
        </w:rPr>
        <w:t xml:space="preserve"> con</w:t>
      </w:r>
      <w:r w:rsidR="002A040E">
        <w:rPr>
          <w:rFonts w:ascii="Arial Narrow" w:hAnsi="Arial Narrow"/>
          <w:bCs/>
          <w:sz w:val="22"/>
          <w:szCs w:val="22"/>
        </w:rPr>
        <w:t xml:space="preserve"> la cantidad de $ 123,994,591</w:t>
      </w:r>
      <w:r w:rsidR="00740C24">
        <w:rPr>
          <w:rFonts w:ascii="Arial Narrow" w:hAnsi="Arial Narrow"/>
          <w:bCs/>
          <w:sz w:val="22"/>
          <w:szCs w:val="22"/>
        </w:rPr>
        <w:t>.00</w:t>
      </w:r>
      <w:r w:rsidR="00D760F3">
        <w:rPr>
          <w:rFonts w:ascii="Arial Narrow" w:hAnsi="Arial Narrow"/>
          <w:bCs/>
          <w:sz w:val="22"/>
          <w:szCs w:val="22"/>
        </w:rPr>
        <w:t xml:space="preserve"> (</w:t>
      </w:r>
      <w:r w:rsidR="002A040E">
        <w:rPr>
          <w:rFonts w:ascii="Arial Narrow" w:hAnsi="Arial Narrow"/>
          <w:bCs/>
          <w:sz w:val="22"/>
          <w:szCs w:val="22"/>
        </w:rPr>
        <w:t xml:space="preserve">ciento </w:t>
      </w:r>
      <w:proofErr w:type="spellStart"/>
      <w:r w:rsidR="002A040E">
        <w:rPr>
          <w:rFonts w:ascii="Arial Narrow" w:hAnsi="Arial Narrow"/>
          <w:bCs/>
          <w:sz w:val="22"/>
          <w:szCs w:val="22"/>
        </w:rPr>
        <w:t>veintitres</w:t>
      </w:r>
      <w:proofErr w:type="spellEnd"/>
      <w:r w:rsidR="002A040E">
        <w:rPr>
          <w:rFonts w:ascii="Arial Narrow" w:hAnsi="Arial Narrow"/>
          <w:bCs/>
          <w:sz w:val="22"/>
          <w:szCs w:val="22"/>
        </w:rPr>
        <w:t xml:space="preserve"> millones novecientos noventa y cuatro mil quinientos noventa y un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17226F">
        <w:rPr>
          <w:rFonts w:ascii="Arial Narrow" w:hAnsi="Arial Narrow"/>
          <w:bCs/>
          <w:sz w:val="22"/>
          <w:szCs w:val="22"/>
        </w:rPr>
        <w:t>.</w:t>
      </w:r>
    </w:p>
    <w:p w:rsidR="006A7BB9" w:rsidRDefault="006A7BB9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</w:t>
      </w:r>
      <w:r w:rsidRPr="004E184E">
        <w:rPr>
          <w:rFonts w:ascii="Arial Narrow" w:hAnsi="Arial Narrow"/>
          <w:sz w:val="22"/>
          <w:szCs w:val="22"/>
        </w:rPr>
        <w:lastRenderedPageBreak/>
        <w:t xml:space="preserve">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F4B9C">
      <w:pPr>
        <w:spacing w:line="180" w:lineRule="exact"/>
        <w:ind w:firstLine="709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B66667">
        <w:rPr>
          <w:rFonts w:ascii="Arial Narrow" w:hAnsi="Arial Narrow"/>
          <w:sz w:val="22"/>
          <w:szCs w:val="22"/>
        </w:rPr>
        <w:t>89,656,255.07</w:t>
      </w:r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 xml:space="preserve">ochenta y nueve millones seiscientos cincuenta y seis mil doscientos cincuenta y cinco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B66667">
        <w:rPr>
          <w:rFonts w:ascii="Arial Narrow" w:hAnsi="Arial Narrow"/>
          <w:sz w:val="22"/>
          <w:szCs w:val="22"/>
        </w:rPr>
        <w:t>07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D0720A">
        <w:rPr>
          <w:rFonts w:ascii="Arial Narrow" w:hAnsi="Arial Narrow"/>
          <w:sz w:val="22"/>
          <w:szCs w:val="22"/>
        </w:rPr>
        <w:t xml:space="preserve">,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5D5E31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39" type="#_x0000_t75" style="position:absolute;left:0;text-align:left;margin-left:32.45pt;margin-top:20.35pt;width:381.5pt;height:240.25pt;z-index:251724288;mso-position-horizontal-relative:text;mso-position-vertical-relative:text">
            <v:imagedata r:id="rId13" o:title=""/>
          </v:shape>
          <o:OLEObject Type="Link" ProgID="Excel.Sheet.8" ShapeID="_x0000_s5039" DrawAspect="Content" r:id="rId14" UpdateMode="Always">
            <o:LinkType>EnhancedMetaFile</o:LinkType>
            <o:LockedField>false</o:LockedField>
          </o:OLEObject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6A7BB9" w:rsidRDefault="006A7BB9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6A7BB9" w:rsidRDefault="006A7BB9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6A7BB9" w:rsidRDefault="006A7BB9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5E21FE" w:rsidRPr="00A2508D" w:rsidRDefault="005E21FE" w:rsidP="005E21FE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el cuadro anterior se contemplan los recursos en el momento contable de ingresos recaudados, siendo conveniente señalar que en el rubro de ZOFEMAT quedaron incentivos pendientes de recaudar por importe de $ 79,598.02 (setenta y nueve mil quinientos noventa y ocho pesos 02/100 m. n.), mismos que se contabilizaron como devengados en el trimestre que se reporta y se captarán en el mes de Abril de 2018. </w:t>
      </w:r>
    </w:p>
    <w:p w:rsidR="002A040E" w:rsidRDefault="002A040E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</w:t>
      </w:r>
      <w:r w:rsidR="006D0482" w:rsidRPr="00C65AE4">
        <w:rPr>
          <w:rFonts w:ascii="Arial Narrow" w:hAnsi="Arial Narrow"/>
          <w:sz w:val="22"/>
          <w:szCs w:val="22"/>
        </w:rPr>
        <w:lastRenderedPageBreak/>
        <w:t>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B66667">
        <w:rPr>
          <w:rFonts w:ascii="Arial Narrow" w:hAnsi="Arial Narrow"/>
          <w:sz w:val="22"/>
          <w:szCs w:val="22"/>
        </w:rPr>
        <w:t>el día 20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B66667">
        <w:rPr>
          <w:rFonts w:ascii="Arial Narrow" w:hAnsi="Arial Narrow"/>
          <w:sz w:val="22"/>
          <w:szCs w:val="22"/>
        </w:rPr>
        <w:t xml:space="preserve"> de 2017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B66667">
        <w:rPr>
          <w:rFonts w:ascii="Arial Narrow" w:hAnsi="Arial Narrow"/>
          <w:sz w:val="22"/>
          <w:szCs w:val="22"/>
        </w:rPr>
        <w:t>ante el Ejercicio Fiscal de 2018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B66667">
        <w:rPr>
          <w:rFonts w:ascii="Arial Narrow" w:hAnsi="Arial Narrow"/>
          <w:sz w:val="22"/>
          <w:szCs w:val="22"/>
        </w:rPr>
        <w:t>primer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B66667">
        <w:rPr>
          <w:rFonts w:ascii="Arial Narrow" w:hAnsi="Arial Narrow"/>
          <w:sz w:val="22"/>
          <w:szCs w:val="22"/>
        </w:rPr>
        <w:t xml:space="preserve"> de 2018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B66667">
        <w:rPr>
          <w:rFonts w:ascii="Arial Narrow" w:hAnsi="Arial Narrow"/>
          <w:sz w:val="22"/>
          <w:szCs w:val="22"/>
        </w:rPr>
        <w:t>2</w:t>
      </w:r>
      <w:proofErr w:type="gramStart"/>
      <w:r w:rsidR="00B66667">
        <w:rPr>
          <w:rFonts w:ascii="Arial Narrow" w:hAnsi="Arial Narrow"/>
          <w:sz w:val="22"/>
          <w:szCs w:val="22"/>
        </w:rPr>
        <w:t>,160,055,685.43</w:t>
      </w:r>
      <w:proofErr w:type="gramEnd"/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>dos mil ciento sesenta millones cincuenta y cinco mil seiscientos ochenta y cinco</w:t>
      </w:r>
      <w:r w:rsidR="00075628">
        <w:rPr>
          <w:rFonts w:ascii="Arial Narrow" w:hAnsi="Arial Narrow"/>
          <w:sz w:val="22"/>
          <w:szCs w:val="22"/>
        </w:rPr>
        <w:t xml:space="preserve">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B66667">
        <w:rPr>
          <w:rFonts w:ascii="Arial Narrow" w:hAnsi="Arial Narrow"/>
          <w:sz w:val="22"/>
          <w:szCs w:val="22"/>
        </w:rPr>
        <w:t>43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 xml:space="preserve">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5D5E31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40" type="#_x0000_t75" style="position:absolute;left:0;text-align:left;margin-left:21.4pt;margin-top:4.35pt;width:382.8pt;height:142.55pt;z-index:251726336;mso-position-horizontal-relative:text;mso-position-vertical-relative:text">
            <v:imagedata r:id="rId15" o:title=""/>
          </v:shape>
          <o:OLEObject Type="Link" ProgID="Excel.Sheet.8" ShapeID="_x0000_s5040" DrawAspect="Content" r:id="rId16" UpdateMode="Always">
            <o:LinkType>EnhancedMetaFile</o:LinkType>
            <o:LockedField>false</o:LockedField>
          </o:OLEObject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1F64A7" w:rsidRDefault="001F64A7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1F64A7" w:rsidRDefault="001F64A7" w:rsidP="0019516B">
      <w:pPr>
        <w:pStyle w:val="Textoindependiente3"/>
        <w:spacing w:after="240" w:line="120" w:lineRule="exact"/>
        <w:ind w:right="74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1F64A7">
        <w:rPr>
          <w:rFonts w:ascii="Arial Narrow" w:hAnsi="Arial Narrow"/>
          <w:sz w:val="22"/>
          <w:szCs w:val="22"/>
        </w:rPr>
        <w:t xml:space="preserve"> el primer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1F64A7">
        <w:rPr>
          <w:rFonts w:ascii="Arial Narrow" w:hAnsi="Arial Narrow"/>
          <w:sz w:val="22"/>
          <w:szCs w:val="22"/>
        </w:rPr>
        <w:t xml:space="preserve"> 1,266,371,059.54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1F64A7">
        <w:rPr>
          <w:rFonts w:ascii="Arial Narrow" w:hAnsi="Arial Narrow"/>
          <w:sz w:val="22"/>
          <w:szCs w:val="22"/>
        </w:rPr>
        <w:t>un mil doscientos sesenta y seis millones trescientos setenta y un mil cincuenta y nueve pesos 54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D22F0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 xml:space="preserve">para ser </w:t>
      </w:r>
      <w:r w:rsidR="009A4C4B" w:rsidRPr="00C65AE4">
        <w:rPr>
          <w:rFonts w:ascii="Arial Narrow" w:hAnsi="Arial Narrow"/>
          <w:sz w:val="22"/>
          <w:szCs w:val="22"/>
        </w:rPr>
        <w:lastRenderedPageBreak/>
        <w:t>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8B1779">
        <w:rPr>
          <w:rFonts w:ascii="Arial Narrow" w:hAnsi="Arial Narrow"/>
          <w:sz w:val="22"/>
          <w:szCs w:val="22"/>
        </w:rPr>
        <w:t>:</w:t>
      </w:r>
    </w:p>
    <w:p w:rsidR="008B1779" w:rsidRDefault="00E57D0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5043" type="#_x0000_t75" style="position:absolute;left:0;text-align:left;margin-left:46.7pt;margin-top:10.35pt;width:355.15pt;height:238.1pt;z-index:251728384;mso-position-horizontal-relative:text;mso-position-vertical-relative:text">
            <v:imagedata r:id="rId17" o:title=""/>
          </v:shape>
          <o:OLEObject Type="Link" ProgID="Excel.Sheet.8" ShapeID="_x0000_s5043" DrawAspect="Content" r:id="rId18" UpdateMode="Always">
            <o:LinkType>EnhancedMetaFile</o:LinkType>
            <o:LockedField>false</o:LockedField>
          </o:OLEObject>
        </w:pic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1F64A7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F64A7">
        <w:rPr>
          <w:rFonts w:ascii="Arial Narrow" w:hAnsi="Arial Narrow"/>
          <w:bCs/>
          <w:sz w:val="22"/>
          <w:szCs w:val="22"/>
        </w:rPr>
        <w:t>en el cuadro anterior resalta la cantidad de $ 518</w:t>
      </w:r>
      <w:proofErr w:type="gramStart"/>
      <w:r w:rsidR="001F64A7">
        <w:rPr>
          <w:rFonts w:ascii="Arial Narrow" w:hAnsi="Arial Narrow"/>
          <w:bCs/>
          <w:sz w:val="22"/>
          <w:szCs w:val="22"/>
        </w:rPr>
        <w:t>,950,000.00</w:t>
      </w:r>
      <w:proofErr w:type="gramEnd"/>
      <w:r w:rsidR="001F64A7">
        <w:rPr>
          <w:rFonts w:ascii="Arial Narrow" w:hAnsi="Arial Narrow"/>
          <w:bCs/>
          <w:sz w:val="22"/>
          <w:szCs w:val="22"/>
        </w:rPr>
        <w:t xml:space="preserve"> (quinientos dieciocho millones novecientos cincuenta mil </w:t>
      </w:r>
      <w:r w:rsidR="007163F7">
        <w:rPr>
          <w:rFonts w:ascii="Arial Narrow" w:hAnsi="Arial Narrow"/>
          <w:bCs/>
          <w:sz w:val="22"/>
          <w:szCs w:val="22"/>
        </w:rPr>
        <w:t>pesos 00/100 m. n.</w:t>
      </w:r>
      <w:r w:rsidR="001F64A7">
        <w:rPr>
          <w:rFonts w:ascii="Arial Narrow" w:hAnsi="Arial Narrow"/>
          <w:bCs/>
          <w:sz w:val="22"/>
          <w:szCs w:val="22"/>
        </w:rPr>
        <w:t xml:space="preserve">) correspondiente a recursos </w:t>
      </w:r>
      <w:r w:rsidR="001F64A7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1F64A7">
        <w:rPr>
          <w:rFonts w:ascii="Arial Narrow" w:hAnsi="Arial Narrow"/>
          <w:bCs/>
          <w:sz w:val="22"/>
          <w:szCs w:val="22"/>
        </w:rPr>
        <w:t>iones que durante el actual</w:t>
      </w:r>
      <w:r w:rsidR="001F64A7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1F64A7">
        <w:rPr>
          <w:rFonts w:ascii="Arial Narrow" w:hAnsi="Arial Narrow"/>
          <w:bCs/>
          <w:sz w:val="22"/>
          <w:szCs w:val="22"/>
        </w:rPr>
        <w:t>.</w:t>
      </w:r>
    </w:p>
    <w:p w:rsidR="00A17C92" w:rsidRDefault="00DC5B5F" w:rsidP="0019516B">
      <w:pPr>
        <w:pStyle w:val="Textoindependiente3"/>
        <w:spacing w:line="240" w:lineRule="auto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5D0812" w:rsidRDefault="00DC5B5F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30014D">
        <w:rPr>
          <w:rFonts w:ascii="Arial Narrow" w:hAnsi="Arial Narrow"/>
          <w:bCs/>
          <w:sz w:val="22"/>
          <w:szCs w:val="22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</w:rPr>
        <w:t xml:space="preserve">lugar </w:t>
      </w:r>
      <w:r w:rsidR="001F64A7" w:rsidRPr="00C65AE4">
        <w:rPr>
          <w:rFonts w:ascii="Arial Narrow" w:hAnsi="Arial Narrow"/>
          <w:bCs/>
          <w:sz w:val="22"/>
          <w:szCs w:val="22"/>
        </w:rPr>
        <w:t>destaca</w:t>
      </w:r>
      <w:r w:rsidR="001F64A7">
        <w:rPr>
          <w:rFonts w:ascii="Arial Narrow" w:hAnsi="Arial Narrow"/>
          <w:bCs/>
          <w:sz w:val="22"/>
          <w:szCs w:val="22"/>
        </w:rPr>
        <w:t>n</w:t>
      </w:r>
      <w:r w:rsidR="001F64A7" w:rsidRPr="00C65AE4">
        <w:rPr>
          <w:rFonts w:ascii="Arial Narrow" w:hAnsi="Arial Narrow"/>
          <w:bCs/>
          <w:sz w:val="22"/>
          <w:szCs w:val="22"/>
        </w:rPr>
        <w:t xml:space="preserve"> </w:t>
      </w:r>
      <w:r w:rsidR="001F64A7">
        <w:rPr>
          <w:rFonts w:ascii="Arial Narrow" w:hAnsi="Arial Narrow"/>
          <w:bCs/>
          <w:sz w:val="22"/>
          <w:szCs w:val="22"/>
          <w:lang w:val="es-ES"/>
        </w:rPr>
        <w:t>los recursos relativos a Fortalecimiento Financiero captados en este período por la cantidad de $ 250</w:t>
      </w:r>
      <w:proofErr w:type="gramStart"/>
      <w:r w:rsidR="001F64A7">
        <w:rPr>
          <w:rFonts w:ascii="Arial Narrow" w:hAnsi="Arial Narrow"/>
          <w:bCs/>
          <w:sz w:val="22"/>
          <w:szCs w:val="22"/>
          <w:lang w:val="es-ES"/>
        </w:rPr>
        <w:t>,000,000.00</w:t>
      </w:r>
      <w:proofErr w:type="gramEnd"/>
      <w:r w:rsidR="001F64A7">
        <w:rPr>
          <w:rFonts w:ascii="Arial Narrow" w:hAnsi="Arial Narrow"/>
          <w:bCs/>
          <w:sz w:val="22"/>
          <w:szCs w:val="22"/>
          <w:lang w:val="es-ES"/>
        </w:rPr>
        <w:t xml:space="preserve"> (doscientos cincuenta  millones de pesos 00/100 m. n.)</w:t>
      </w:r>
      <w:r w:rsidR="0019516B">
        <w:rPr>
          <w:rFonts w:ascii="Arial Narrow" w:hAnsi="Arial Narrow"/>
          <w:bCs/>
          <w:sz w:val="22"/>
          <w:szCs w:val="22"/>
          <w:lang w:val="es-ES"/>
        </w:rPr>
        <w:t xml:space="preserve"> y en </w:t>
      </w:r>
      <w:r w:rsidR="00587D3A">
        <w:rPr>
          <w:rFonts w:ascii="Arial Narrow" w:hAnsi="Arial Narrow"/>
          <w:bCs/>
          <w:sz w:val="22"/>
          <w:szCs w:val="22"/>
          <w:lang w:val="es-ES"/>
        </w:rPr>
        <w:t>tercera posición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figura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1F64A7">
        <w:rPr>
          <w:rFonts w:ascii="Arial Narrow" w:hAnsi="Arial Narrow"/>
          <w:bCs/>
          <w:sz w:val="22"/>
          <w:szCs w:val="22"/>
          <w:lang w:val="es-ES"/>
        </w:rPr>
        <w:t>la cifra de $ 118,432,865.77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1F64A7">
        <w:rPr>
          <w:rFonts w:ascii="Arial Narrow" w:hAnsi="Arial Narrow"/>
          <w:bCs/>
          <w:sz w:val="22"/>
          <w:szCs w:val="22"/>
          <w:lang w:val="es-ES"/>
        </w:rPr>
        <w:t>ciento dieciocho millones cuatrocientos treinta y dos mil</w:t>
      </w:r>
      <w:r w:rsidR="00756E46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1F64A7">
        <w:rPr>
          <w:rFonts w:ascii="Arial Narrow" w:hAnsi="Arial Narrow"/>
          <w:bCs/>
          <w:sz w:val="22"/>
          <w:szCs w:val="22"/>
          <w:lang w:val="es-ES"/>
        </w:rPr>
        <w:t>ochocientos sesenta y cinco pesos 77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7D220E">
        <w:rPr>
          <w:rFonts w:ascii="Arial Narrow" w:hAnsi="Arial Narrow"/>
          <w:bCs/>
          <w:sz w:val="22"/>
          <w:szCs w:val="22"/>
          <w:lang w:val="es-ES"/>
        </w:rPr>
        <w:t xml:space="preserve"> que pertenece </w:t>
      </w:r>
      <w:r w:rsidR="00880C99">
        <w:rPr>
          <w:rFonts w:ascii="Arial Narrow" w:hAnsi="Arial Narrow"/>
          <w:bCs/>
          <w:sz w:val="22"/>
          <w:szCs w:val="22"/>
          <w:lang w:val="es-ES"/>
        </w:rPr>
        <w:t>a las remesas para el Régimen Estatal de Protección Social en Salud (Seguro Popular)</w:t>
      </w:r>
      <w:r w:rsidR="001F64A7">
        <w:rPr>
          <w:rFonts w:ascii="Arial Narrow" w:hAnsi="Arial Narrow"/>
          <w:bCs/>
          <w:sz w:val="22"/>
          <w:szCs w:val="22"/>
          <w:lang w:val="es-ES"/>
        </w:rPr>
        <w:t>.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8B1779">
        <w:rPr>
          <w:rFonts w:ascii="Arial Narrow" w:hAnsi="Arial Narrow"/>
          <w:bCs/>
          <w:sz w:val="22"/>
          <w:szCs w:val="22"/>
          <w:lang w:val="es-ES"/>
        </w:rPr>
        <w:t xml:space="preserve">        </w:t>
      </w:r>
    </w:p>
    <w:sectPr w:rsidR="005D0812" w:rsidSect="00594F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31" w:rsidRDefault="005D5E31">
      <w:r>
        <w:separator/>
      </w:r>
    </w:p>
  </w:endnote>
  <w:endnote w:type="continuationSeparator" w:id="0">
    <w:p w:rsidR="005D5E31" w:rsidRDefault="005D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6E46" w:rsidRDefault="0075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7D0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</w:p>
  <w:p w:rsidR="00756E46" w:rsidRDefault="00756E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31" w:rsidRDefault="005D5E31">
      <w:r>
        <w:separator/>
      </w:r>
    </w:p>
  </w:footnote>
  <w:footnote w:type="continuationSeparator" w:id="0">
    <w:p w:rsidR="005D5E31" w:rsidRDefault="005D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56E46" w:rsidRDefault="00756E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</w:p>
  <w:p w:rsidR="00756E46" w:rsidRDefault="00756E46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56E46" w:rsidRDefault="00756E46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2FF24AD" wp14:editId="012ED90B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Pr="00B260DD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2673" wp14:editId="7A5517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D72280B" wp14:editId="0F76F28F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Pr="00E403B5" w:rsidRDefault="007F7CD6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</w:t>
    </w:r>
    <w:r w:rsidR="00756E46">
      <w:rPr>
        <w:rFonts w:ascii="Arial Narrow" w:hAnsi="Arial Narrow"/>
        <w:sz w:val="24"/>
        <w:lang w:val="es-MX"/>
      </w:rPr>
      <w:t xml:space="preserve"> 30 de 2018</w:t>
    </w:r>
    <w:r w:rsidR="00756E46" w:rsidRPr="00E403B5">
      <w:rPr>
        <w:rFonts w:ascii="Arial Narrow" w:hAnsi="Arial Narrow"/>
        <w:sz w:val="24"/>
        <w:lang w:val="es-MX"/>
      </w:rPr>
      <w:t xml:space="preserve">. </w:t>
    </w:r>
  </w:p>
  <w:p w:rsidR="00756E46" w:rsidRDefault="00756E46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186F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4C62"/>
    <w:rsid w:val="00945C3D"/>
    <w:rsid w:val="009516E8"/>
    <w:rsid w:val="009517A2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ENE%20MAR%202018\A.-%20INGRESOS%20ENE%20MAR%202018.xls!5.-%20CONVENIOS!F3C1:F93C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ENE%20MAR%202018\A.-%20INGRESOS%20ENE%20MAR%202018.xls!2.-%20PF!F2C1:F14C3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ENE%20MAR%202018\A.-%20INGRESOS%20ENE%20MAR%202018.xls!4.-%20R33!F2C1:F12C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ENE%20MAR%202018\A.-%20INGRESOS%20ENE%20MAR%202018.xls!1-ING!F3C1:F24C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ENE%20MAR%202018\A.-%20INGRESOS%20ENE%20MAR%202018.xls!3.-%20INCENTIVOS!F2C1:F32C4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13B-D67D-4F9D-97DC-A30EDA9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10</Pages>
  <Words>2210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103</cp:revision>
  <cp:lastPrinted>2018-03-02T04:18:00Z</cp:lastPrinted>
  <dcterms:created xsi:type="dcterms:W3CDTF">2016-11-25T18:51:00Z</dcterms:created>
  <dcterms:modified xsi:type="dcterms:W3CDTF">2018-05-17T15:53:00Z</dcterms:modified>
</cp:coreProperties>
</file>